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508" w:rsidRPr="00591508" w:rsidRDefault="00591508" w:rsidP="00BE4C0F">
      <w:pPr>
        <w:pStyle w:val="CM6"/>
        <w:spacing w:after="220" w:line="266" w:lineRule="atLeast"/>
        <w:jc w:val="both"/>
        <w:rPr>
          <w:rFonts w:ascii="Arial" w:hAnsi="Arial" w:cs="Arial"/>
          <w:b/>
          <w:caps/>
        </w:rPr>
      </w:pPr>
      <w:r w:rsidRPr="00591508">
        <w:rPr>
          <w:rFonts w:ascii="Arial" w:hAnsi="Arial" w:cs="Arial"/>
          <w:b/>
        </w:rPr>
        <w:t xml:space="preserve">TEXTO </w:t>
      </w:r>
      <w:r w:rsidR="00642DC6">
        <w:rPr>
          <w:rFonts w:ascii="Arial" w:hAnsi="Arial" w:cs="Arial"/>
          <w:b/>
        </w:rPr>
        <w:t>APROBADO EN LA COMISION PRIMERA DE LA HONORABLE CAMARA DE REPRESENTANTES A</w:t>
      </w:r>
      <w:r w:rsidRPr="00591508">
        <w:rPr>
          <w:rFonts w:ascii="Arial" w:hAnsi="Arial" w:cs="Arial"/>
          <w:b/>
        </w:rPr>
        <w:t xml:space="preserve">L </w:t>
      </w:r>
      <w:r w:rsidRPr="00591508">
        <w:rPr>
          <w:rFonts w:ascii="Arial" w:hAnsi="Arial" w:cs="Arial"/>
          <w:b/>
          <w:caps/>
        </w:rPr>
        <w:t xml:space="preserve">proyecto de ley No. 218 de 2016 “Por la cual se modifica el artículo 98 de la ley 23 de 1982 “Sobre Derechos de Autor”, se establece una remuneración por </w:t>
      </w:r>
      <w:bookmarkStart w:id="0" w:name="_GoBack"/>
      <w:bookmarkEnd w:id="0"/>
      <w:r w:rsidRPr="00591508">
        <w:rPr>
          <w:rFonts w:ascii="Arial" w:hAnsi="Arial" w:cs="Arial"/>
          <w:b/>
          <w:caps/>
        </w:rPr>
        <w:t>comunicación pública a los autores de obras cinematográficas o “Ley Pepe Sánchez”.</w:t>
      </w:r>
    </w:p>
    <w:p w:rsidR="009104B6" w:rsidRPr="00591508" w:rsidRDefault="009104B6" w:rsidP="009104B6">
      <w:pPr>
        <w:pStyle w:val="Sinespaciado"/>
        <w:jc w:val="both"/>
        <w:rPr>
          <w:rFonts w:ascii="Arial" w:hAnsi="Arial" w:cs="Arial"/>
          <w:b/>
          <w:sz w:val="24"/>
          <w:szCs w:val="24"/>
        </w:rPr>
      </w:pPr>
    </w:p>
    <w:p w:rsidR="00591508" w:rsidRPr="00591508" w:rsidRDefault="00591508" w:rsidP="009104B6">
      <w:pPr>
        <w:pStyle w:val="Sinespaciado"/>
        <w:jc w:val="both"/>
        <w:rPr>
          <w:rFonts w:ascii="Arial" w:hAnsi="Arial" w:cs="Arial"/>
          <w:b/>
          <w:sz w:val="24"/>
          <w:szCs w:val="24"/>
        </w:rPr>
      </w:pPr>
    </w:p>
    <w:p w:rsidR="00591508" w:rsidRPr="00591508" w:rsidRDefault="00591508" w:rsidP="00591508">
      <w:pPr>
        <w:pStyle w:val="CM6"/>
        <w:jc w:val="both"/>
        <w:rPr>
          <w:rFonts w:ascii="Arial" w:hAnsi="Arial" w:cs="Arial"/>
        </w:rPr>
      </w:pPr>
      <w:r w:rsidRPr="00591508">
        <w:rPr>
          <w:rFonts w:ascii="Arial" w:hAnsi="Arial" w:cs="Arial"/>
          <w:b/>
        </w:rPr>
        <w:t>ARTÍCULO 1o.</w:t>
      </w:r>
      <w:r w:rsidRPr="00591508">
        <w:rPr>
          <w:rFonts w:ascii="Arial" w:hAnsi="Arial" w:cs="Arial"/>
        </w:rPr>
        <w:t xml:space="preserve"> Adiciónese el artículo 98 de la Ley 23 de 1982, el cual quedará así: </w:t>
      </w:r>
    </w:p>
    <w:p w:rsidR="00591508" w:rsidRPr="00591508" w:rsidRDefault="00591508" w:rsidP="00591508">
      <w:pPr>
        <w:spacing w:after="0" w:line="240" w:lineRule="auto"/>
        <w:rPr>
          <w:sz w:val="24"/>
          <w:szCs w:val="24"/>
        </w:rPr>
      </w:pPr>
    </w:p>
    <w:p w:rsidR="00591508" w:rsidRPr="00591508" w:rsidRDefault="00591508" w:rsidP="00591508">
      <w:pPr>
        <w:spacing w:after="0" w:line="240" w:lineRule="auto"/>
        <w:jc w:val="both"/>
        <w:rPr>
          <w:rFonts w:ascii="Arial" w:hAnsi="Arial" w:cs="Arial"/>
          <w:sz w:val="24"/>
          <w:szCs w:val="24"/>
        </w:rPr>
      </w:pPr>
      <w:r w:rsidRPr="00591508">
        <w:rPr>
          <w:rFonts w:ascii="Arial" w:hAnsi="Arial" w:cs="Arial"/>
          <w:b/>
          <w:sz w:val="24"/>
          <w:szCs w:val="24"/>
        </w:rPr>
        <w:t>ARTÍCULO 98:</w:t>
      </w:r>
      <w:r w:rsidRPr="00591508">
        <w:rPr>
          <w:rFonts w:ascii="Arial" w:hAnsi="Arial" w:cs="Arial"/>
          <w:sz w:val="24"/>
          <w:szCs w:val="24"/>
        </w:rPr>
        <w:t xml:space="preserve"> Los derechos patrimoniales sobre la obra cinematográfica se reconocerán, salvo estipulación en contrario a favor del productor.</w:t>
      </w:r>
    </w:p>
    <w:p w:rsidR="00591508" w:rsidRPr="00591508" w:rsidRDefault="00591508" w:rsidP="00591508">
      <w:pPr>
        <w:pStyle w:val="CM6"/>
        <w:jc w:val="both"/>
        <w:rPr>
          <w:rFonts w:ascii="Arial" w:hAnsi="Arial" w:cs="Arial"/>
        </w:rPr>
      </w:pPr>
    </w:p>
    <w:p w:rsidR="00591508" w:rsidRPr="00591508" w:rsidRDefault="00591508" w:rsidP="00591508">
      <w:pPr>
        <w:pStyle w:val="CM6"/>
        <w:jc w:val="both"/>
        <w:rPr>
          <w:rFonts w:ascii="Arial" w:hAnsi="Arial" w:cs="Arial"/>
        </w:rPr>
      </w:pPr>
      <w:r w:rsidRPr="00591508">
        <w:rPr>
          <w:rFonts w:ascii="Arial" w:hAnsi="Arial" w:cs="Arial"/>
          <w:b/>
        </w:rPr>
        <w:t>PARÁGRAFO 1º:</w:t>
      </w:r>
      <w:r w:rsidRPr="00591508">
        <w:rPr>
          <w:rFonts w:ascii="Arial" w:hAnsi="Arial" w:cs="Arial"/>
        </w:rPr>
        <w:t xml:space="preserve"> No obstante la presunción de cesión de los derechos de los autores establecidos en el artículo 95 de la presente ley, conservarán</w:t>
      </w:r>
      <w:r w:rsidR="00A925CF">
        <w:rPr>
          <w:rFonts w:ascii="Arial" w:hAnsi="Arial" w:cs="Arial"/>
        </w:rPr>
        <w:t xml:space="preserve"> en todo caso</w:t>
      </w:r>
      <w:r w:rsidRPr="00591508">
        <w:rPr>
          <w:rFonts w:ascii="Arial" w:hAnsi="Arial" w:cs="Arial"/>
        </w:rPr>
        <w:t xml:space="preserve"> el derecho a recibir una remuneración equitativa por los actos de comunicación pública incluida la puesta a disposición y el alquiler comercial al público que se hagan de la obra audiovisual, remuneración que será pagada directamente por quien realice la comunicación pública.</w:t>
      </w:r>
    </w:p>
    <w:p w:rsidR="00591508" w:rsidRDefault="00591508" w:rsidP="00591508">
      <w:pPr>
        <w:pStyle w:val="CM6"/>
        <w:jc w:val="both"/>
        <w:rPr>
          <w:rFonts w:ascii="Arial" w:hAnsi="Arial" w:cs="Arial"/>
        </w:rPr>
      </w:pPr>
    </w:p>
    <w:p w:rsidR="00591508" w:rsidRPr="00591508" w:rsidRDefault="00591508" w:rsidP="00591508">
      <w:pPr>
        <w:pStyle w:val="CM6"/>
        <w:jc w:val="both"/>
        <w:rPr>
          <w:rFonts w:ascii="Arial" w:hAnsi="Arial" w:cs="Arial"/>
        </w:rPr>
      </w:pPr>
      <w:r w:rsidRPr="00591508">
        <w:rPr>
          <w:rFonts w:ascii="Arial" w:hAnsi="Arial" w:cs="Arial"/>
        </w:rPr>
        <w:t xml:space="preserve">La remuneración a que se refiere este artículo, no se entenderá comprendida en las cesiones de derechos que el autor hubiere efectuado con anterioridad a esta ley y no afecta los demás derechos que a los autores de obras cinematográficas les reconoce la ley 23 de 1982 y demás normas que la modifican o adicionan, así como sus decretos reglamentarios. </w:t>
      </w:r>
    </w:p>
    <w:p w:rsidR="00591508" w:rsidRPr="00591508" w:rsidRDefault="00591508" w:rsidP="00591508">
      <w:pPr>
        <w:spacing w:after="0" w:line="240" w:lineRule="auto"/>
        <w:rPr>
          <w:sz w:val="24"/>
          <w:szCs w:val="24"/>
        </w:rPr>
      </w:pPr>
    </w:p>
    <w:p w:rsidR="00591508" w:rsidRPr="00591508" w:rsidRDefault="00591508" w:rsidP="00591508">
      <w:pPr>
        <w:pStyle w:val="CM6"/>
        <w:jc w:val="both"/>
        <w:rPr>
          <w:rFonts w:ascii="Arial" w:hAnsi="Arial" w:cs="Arial"/>
        </w:rPr>
      </w:pPr>
      <w:r w:rsidRPr="00591508">
        <w:rPr>
          <w:rFonts w:ascii="Arial" w:hAnsi="Arial" w:cs="Arial"/>
        </w:rPr>
        <w:t xml:space="preserve">En ejercicio de este derecho, los autores definidos en el artículo 95 de la presente ley, no podrán prohibir, alterar o suspender la producción o la normal explotación comercial de la obra cinematográfica por parte del productor.   </w:t>
      </w:r>
    </w:p>
    <w:p w:rsidR="00591508" w:rsidRPr="00591508" w:rsidRDefault="00591508" w:rsidP="00591508">
      <w:pPr>
        <w:spacing w:after="0" w:line="240" w:lineRule="auto"/>
        <w:rPr>
          <w:sz w:val="24"/>
          <w:szCs w:val="24"/>
        </w:rPr>
      </w:pPr>
    </w:p>
    <w:p w:rsidR="00591508" w:rsidRPr="00591508" w:rsidRDefault="00591508" w:rsidP="00591508">
      <w:pPr>
        <w:pStyle w:val="Sinespaciado"/>
        <w:jc w:val="both"/>
        <w:rPr>
          <w:rFonts w:ascii="Arial" w:hAnsi="Arial" w:cs="Arial"/>
          <w:sz w:val="24"/>
          <w:szCs w:val="24"/>
        </w:rPr>
      </w:pPr>
      <w:r w:rsidRPr="00591508">
        <w:rPr>
          <w:rFonts w:ascii="Arial" w:hAnsi="Arial" w:cs="Arial"/>
          <w:b/>
          <w:sz w:val="24"/>
          <w:szCs w:val="24"/>
        </w:rPr>
        <w:t>PARÁGRAFO 2º.</w:t>
      </w:r>
      <w:r w:rsidRPr="00591508">
        <w:rPr>
          <w:rFonts w:ascii="Arial" w:hAnsi="Arial" w:cs="Arial"/>
          <w:sz w:val="24"/>
          <w:szCs w:val="24"/>
        </w:rPr>
        <w:t xml:space="preserve"> No se considerará comunicación pública, para los efectos del ejercicio de éste derecho, la que se realice con fines estrictamente educativos, dentro del recinto o instalaciones de los institutos de educación, siempre que no se cobre suma alguna por el derecho de entrada. Así mismo, el pago o reconocimiento de este derecho de remuneración no le es aplicable a aquellos establecimientos abiertos al público que utilicen la obra audiovisual para el entretenimiento de sus trabajadores, o cuya finalidad de comunicación de la obra audiovisual no sea la de entretener con ella al público consumidor con ánimo de lucro o de ventas.</w:t>
      </w:r>
    </w:p>
    <w:p w:rsidR="00591508" w:rsidRPr="00591508" w:rsidRDefault="00591508" w:rsidP="00591508">
      <w:pPr>
        <w:pStyle w:val="Sinespaciado"/>
        <w:jc w:val="both"/>
        <w:rPr>
          <w:rFonts w:ascii="Arial" w:hAnsi="Arial" w:cs="Arial"/>
          <w:sz w:val="24"/>
          <w:szCs w:val="24"/>
        </w:rPr>
      </w:pPr>
    </w:p>
    <w:p w:rsidR="00591508" w:rsidRPr="00591508" w:rsidRDefault="00591508" w:rsidP="00591508">
      <w:pPr>
        <w:pStyle w:val="Sinespaciado"/>
        <w:jc w:val="both"/>
        <w:rPr>
          <w:rFonts w:ascii="Arial" w:hAnsi="Arial" w:cs="Arial"/>
          <w:sz w:val="24"/>
          <w:szCs w:val="24"/>
        </w:rPr>
      </w:pPr>
      <w:r w:rsidRPr="00591508">
        <w:rPr>
          <w:rFonts w:ascii="Arial" w:hAnsi="Arial" w:cs="Arial"/>
          <w:b/>
          <w:sz w:val="24"/>
          <w:szCs w:val="24"/>
        </w:rPr>
        <w:lastRenderedPageBreak/>
        <w:t xml:space="preserve">ARTÍCULO 2o. VIGENCIA. </w:t>
      </w:r>
      <w:r w:rsidRPr="00591508">
        <w:rPr>
          <w:rFonts w:ascii="Arial" w:hAnsi="Arial" w:cs="Arial"/>
          <w:sz w:val="24"/>
          <w:szCs w:val="24"/>
        </w:rPr>
        <w:t>La presente ley rige a partir de su promulgación y deroga todas aquellas que le sean contrarias.</w:t>
      </w:r>
    </w:p>
    <w:p w:rsidR="00591508" w:rsidRDefault="00591508" w:rsidP="00591508">
      <w:pPr>
        <w:pStyle w:val="Sinespaciado"/>
        <w:jc w:val="both"/>
        <w:rPr>
          <w:rFonts w:ascii="Arial" w:hAnsi="Arial" w:cs="Arial"/>
          <w:sz w:val="27"/>
          <w:szCs w:val="27"/>
        </w:rPr>
      </w:pPr>
    </w:p>
    <w:p w:rsidR="00591508" w:rsidRDefault="00591508" w:rsidP="00591508">
      <w:pPr>
        <w:pStyle w:val="Sinespaciado"/>
        <w:jc w:val="both"/>
        <w:rPr>
          <w:rFonts w:ascii="Arial" w:hAnsi="Arial" w:cs="Arial"/>
        </w:rPr>
      </w:pPr>
    </w:p>
    <w:p w:rsidR="005805DD" w:rsidRDefault="005805DD" w:rsidP="008D1720">
      <w:pPr>
        <w:spacing w:after="0" w:line="240" w:lineRule="auto"/>
        <w:jc w:val="both"/>
        <w:rPr>
          <w:rFonts w:ascii="Arial" w:eastAsia="Calibri" w:hAnsi="Arial" w:cs="Arial"/>
          <w:sz w:val="24"/>
          <w:szCs w:val="24"/>
          <w:lang w:val="es-ES"/>
        </w:rPr>
      </w:pPr>
    </w:p>
    <w:p w:rsidR="008D1720" w:rsidRPr="005805DD" w:rsidRDefault="008D1720" w:rsidP="008D1720">
      <w:pPr>
        <w:spacing w:after="0" w:line="240" w:lineRule="auto"/>
        <w:jc w:val="both"/>
        <w:rPr>
          <w:rFonts w:ascii="Arial" w:eastAsia="Calibri" w:hAnsi="Arial" w:cs="Arial"/>
          <w:sz w:val="24"/>
          <w:szCs w:val="24"/>
          <w:lang w:val="es-ES"/>
        </w:rPr>
      </w:pPr>
      <w:r w:rsidRPr="005805DD">
        <w:rPr>
          <w:rFonts w:ascii="Arial" w:eastAsia="Calibri" w:hAnsi="Arial" w:cs="Arial"/>
          <w:sz w:val="24"/>
          <w:szCs w:val="24"/>
          <w:lang w:val="es-ES"/>
        </w:rPr>
        <w:t xml:space="preserve">En los anteriores términos fue aprobado con modificaciones el presente Proyecto de Ley el día 07 de junio de 2016, según consta en el Acta No. 45. Anunciado entre otras fechas el 02 de junio de 2016 según consta en el Acta No. 44 de esa misma fecha.  </w:t>
      </w:r>
    </w:p>
    <w:p w:rsidR="008D1720" w:rsidRPr="008D1720" w:rsidRDefault="008D1720" w:rsidP="008D1720">
      <w:pPr>
        <w:spacing w:line="240" w:lineRule="auto"/>
        <w:jc w:val="both"/>
        <w:rPr>
          <w:rFonts w:cs="Calibri"/>
        </w:rPr>
      </w:pPr>
    </w:p>
    <w:p w:rsidR="008D1720" w:rsidRPr="008D1720" w:rsidRDefault="008D1720" w:rsidP="008D1720">
      <w:pPr>
        <w:spacing w:line="240" w:lineRule="auto"/>
        <w:jc w:val="both"/>
        <w:rPr>
          <w:rFonts w:cs="Calibri"/>
          <w:b/>
        </w:rPr>
      </w:pPr>
    </w:p>
    <w:p w:rsidR="00591508" w:rsidRDefault="00591508" w:rsidP="00591508">
      <w:pPr>
        <w:pStyle w:val="Sinespaciado"/>
        <w:jc w:val="both"/>
        <w:rPr>
          <w:rFonts w:ascii="Arial" w:hAnsi="Arial" w:cs="Arial"/>
        </w:rPr>
      </w:pPr>
    </w:p>
    <w:p w:rsidR="00591508" w:rsidRDefault="00591508" w:rsidP="00591508">
      <w:pPr>
        <w:pStyle w:val="Sinespaciado"/>
        <w:jc w:val="both"/>
        <w:rPr>
          <w:rFonts w:ascii="Arial" w:hAnsi="Arial" w:cs="Arial"/>
        </w:rPr>
      </w:pPr>
    </w:p>
    <w:p w:rsidR="00591508" w:rsidRDefault="00591508" w:rsidP="00591508">
      <w:pPr>
        <w:pStyle w:val="Sinespaciado"/>
        <w:jc w:val="both"/>
        <w:rPr>
          <w:rFonts w:ascii="Arial" w:hAnsi="Arial" w:cs="Arial"/>
        </w:rPr>
      </w:pPr>
    </w:p>
    <w:p w:rsidR="00591508" w:rsidRPr="005805DD" w:rsidRDefault="00591508" w:rsidP="00591508">
      <w:pPr>
        <w:pStyle w:val="Sinespaciado"/>
        <w:jc w:val="both"/>
        <w:rPr>
          <w:rFonts w:ascii="Arial" w:hAnsi="Arial" w:cs="Arial"/>
          <w:b/>
        </w:rPr>
      </w:pPr>
      <w:r>
        <w:rPr>
          <w:rFonts w:ascii="Arial" w:hAnsi="Arial" w:cs="Arial"/>
          <w:b/>
        </w:rPr>
        <w:t xml:space="preserve">CLARA </w:t>
      </w:r>
      <w:r w:rsidR="005805DD">
        <w:rPr>
          <w:rFonts w:ascii="Arial" w:hAnsi="Arial" w:cs="Arial"/>
          <w:b/>
        </w:rPr>
        <w:t xml:space="preserve">L. </w:t>
      </w:r>
      <w:r>
        <w:rPr>
          <w:rFonts w:ascii="Arial" w:hAnsi="Arial" w:cs="Arial"/>
          <w:b/>
        </w:rPr>
        <w:t>ROJAS</w:t>
      </w:r>
      <w:r w:rsidR="005805DD">
        <w:rPr>
          <w:rFonts w:ascii="Arial" w:hAnsi="Arial" w:cs="Arial"/>
          <w:b/>
        </w:rPr>
        <w:t xml:space="preserve"> GONZÁLEZ</w:t>
      </w:r>
      <w:r w:rsidR="005805DD">
        <w:rPr>
          <w:rFonts w:ascii="Arial" w:hAnsi="Arial" w:cs="Arial"/>
          <w:b/>
        </w:rPr>
        <w:tab/>
      </w:r>
      <w:r w:rsidR="005805DD">
        <w:rPr>
          <w:rFonts w:ascii="Arial" w:hAnsi="Arial" w:cs="Arial"/>
          <w:b/>
        </w:rPr>
        <w:tab/>
      </w:r>
      <w:r w:rsidR="005805DD">
        <w:rPr>
          <w:rFonts w:ascii="Arial" w:hAnsi="Arial" w:cs="Arial"/>
          <w:b/>
        </w:rPr>
        <w:tab/>
        <w:t xml:space="preserve">MIGUEL ANGEL PINTO HERNÁNDEZ                              </w:t>
      </w:r>
    </w:p>
    <w:p w:rsidR="00591508" w:rsidRDefault="005805DD" w:rsidP="00591508">
      <w:pPr>
        <w:pStyle w:val="Sinespaciado"/>
        <w:jc w:val="both"/>
        <w:rPr>
          <w:rFonts w:ascii="Arial" w:hAnsi="Arial" w:cs="Arial"/>
        </w:rPr>
      </w:pPr>
      <w:r>
        <w:rPr>
          <w:rFonts w:ascii="Arial" w:hAnsi="Arial" w:cs="Arial"/>
        </w:rPr>
        <w:t>Coordinador Ponente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Presidente</w:t>
      </w:r>
    </w:p>
    <w:p w:rsidR="005805DD" w:rsidRDefault="005805DD" w:rsidP="00591508">
      <w:pPr>
        <w:pStyle w:val="Sinespaciado"/>
        <w:jc w:val="both"/>
        <w:rPr>
          <w:rFonts w:ascii="Arial" w:hAnsi="Arial" w:cs="Arial"/>
        </w:rPr>
      </w:pPr>
    </w:p>
    <w:p w:rsidR="005805DD" w:rsidRDefault="005805DD" w:rsidP="00591508">
      <w:pPr>
        <w:pStyle w:val="Sinespaciado"/>
        <w:jc w:val="both"/>
        <w:rPr>
          <w:rFonts w:ascii="Arial" w:hAnsi="Arial" w:cs="Arial"/>
        </w:rPr>
      </w:pPr>
    </w:p>
    <w:p w:rsidR="005805DD" w:rsidRDefault="005805DD" w:rsidP="00591508">
      <w:pPr>
        <w:pStyle w:val="Sinespaciado"/>
        <w:jc w:val="both"/>
        <w:rPr>
          <w:rFonts w:ascii="Arial" w:hAnsi="Arial" w:cs="Arial"/>
        </w:rPr>
      </w:pPr>
    </w:p>
    <w:p w:rsidR="005805DD" w:rsidRDefault="005805DD" w:rsidP="00591508">
      <w:pPr>
        <w:pStyle w:val="Sinespaciado"/>
        <w:jc w:val="both"/>
        <w:rPr>
          <w:rFonts w:ascii="Arial" w:hAnsi="Arial" w:cs="Arial"/>
        </w:rPr>
      </w:pPr>
    </w:p>
    <w:p w:rsidR="005805DD" w:rsidRDefault="005805DD" w:rsidP="00591508">
      <w:pPr>
        <w:pStyle w:val="Sinespaciado"/>
        <w:jc w:val="both"/>
        <w:rPr>
          <w:rFonts w:ascii="Arial" w:hAnsi="Arial" w:cs="Arial"/>
          <w:b/>
        </w:rPr>
      </w:pPr>
      <w:r>
        <w:rPr>
          <w:rFonts w:ascii="Arial" w:hAnsi="Arial" w:cs="Arial"/>
        </w:rPr>
        <w:tab/>
      </w:r>
      <w:r>
        <w:rPr>
          <w:rFonts w:ascii="Arial" w:hAnsi="Arial" w:cs="Arial"/>
        </w:rPr>
        <w:tab/>
      </w:r>
      <w:r>
        <w:rPr>
          <w:rFonts w:ascii="Arial" w:hAnsi="Arial" w:cs="Arial"/>
        </w:rPr>
        <w:tab/>
        <w:t xml:space="preserve">    </w:t>
      </w:r>
      <w:r w:rsidRPr="005805DD">
        <w:rPr>
          <w:rFonts w:ascii="Arial" w:hAnsi="Arial" w:cs="Arial"/>
          <w:b/>
        </w:rPr>
        <w:t>AMPARO Y. CALDERÓN PERDOMO</w:t>
      </w:r>
    </w:p>
    <w:p w:rsidR="005805DD" w:rsidRPr="005805DD" w:rsidRDefault="005805DD" w:rsidP="00591508">
      <w:pPr>
        <w:pStyle w:val="Sinespaciado"/>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 xml:space="preserve">          Secretaria</w:t>
      </w:r>
    </w:p>
    <w:sectPr w:rsidR="005805DD" w:rsidRPr="005805DD" w:rsidSect="00D1209D">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F1C" w:rsidRDefault="000C1F1C" w:rsidP="00D1209D">
      <w:pPr>
        <w:spacing w:after="0" w:line="240" w:lineRule="auto"/>
      </w:pPr>
      <w:r>
        <w:separator/>
      </w:r>
    </w:p>
  </w:endnote>
  <w:endnote w:type="continuationSeparator" w:id="0">
    <w:p w:rsidR="000C1F1C" w:rsidRDefault="000C1F1C" w:rsidP="00D1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8A6" w:rsidRDefault="003838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8A6" w:rsidRDefault="003838A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8A6" w:rsidRDefault="003838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F1C" w:rsidRDefault="000C1F1C" w:rsidP="00D1209D">
      <w:pPr>
        <w:spacing w:after="0" w:line="240" w:lineRule="auto"/>
      </w:pPr>
      <w:r>
        <w:separator/>
      </w:r>
    </w:p>
  </w:footnote>
  <w:footnote w:type="continuationSeparator" w:id="0">
    <w:p w:rsidR="000C1F1C" w:rsidRDefault="000C1F1C" w:rsidP="00D12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8A6" w:rsidRDefault="003838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D1209D" w:rsidRDefault="00D1209D" w:rsidP="00D1209D">
        <w:pPr>
          <w:pStyle w:val="Encabezado"/>
          <w:tabs>
            <w:tab w:val="left" w:pos="5040"/>
          </w:tabs>
        </w:pPr>
        <w:r>
          <w:tab/>
        </w:r>
        <w:r>
          <w:rPr>
            <w:noProof/>
            <w:lang w:eastAsia="es-CO"/>
          </w:rPr>
          <w:t xml:space="preserve">                                             </w:t>
        </w:r>
        <w:r>
          <w:rPr>
            <w:noProof/>
            <w:lang w:eastAsia="es-CO"/>
          </w:rPr>
          <w:drawing>
            <wp:inline distT="0" distB="0" distL="0" distR="0" wp14:anchorId="2EDCF65B" wp14:editId="6DE3CC82">
              <wp:extent cx="2581275" cy="764708"/>
              <wp:effectExtent l="0" t="0" r="0" b="0"/>
              <wp:docPr id="1" name="Imagen 1"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r w:rsidRPr="005B60B6">
          <w:rPr>
            <w:lang w:val="es-ES"/>
          </w:rPr>
          <w:t xml:space="preserve"> </w:t>
        </w:r>
        <w:r>
          <w:rPr>
            <w:lang w:val="es-ES"/>
          </w:rPr>
          <w:t xml:space="preserve">                    Página </w:t>
        </w:r>
        <w:r>
          <w:rPr>
            <w:b/>
            <w:bCs/>
            <w:sz w:val="24"/>
            <w:szCs w:val="24"/>
          </w:rPr>
          <w:fldChar w:fldCharType="begin"/>
        </w:r>
        <w:r>
          <w:rPr>
            <w:b/>
            <w:bCs/>
          </w:rPr>
          <w:instrText>PAGE</w:instrText>
        </w:r>
        <w:r>
          <w:rPr>
            <w:b/>
            <w:bCs/>
            <w:sz w:val="24"/>
            <w:szCs w:val="24"/>
          </w:rPr>
          <w:fldChar w:fldCharType="separate"/>
        </w:r>
        <w:r w:rsidR="00BE4C0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E4C0F">
          <w:rPr>
            <w:b/>
            <w:bCs/>
            <w:noProof/>
          </w:rPr>
          <w:t>2</w:t>
        </w:r>
        <w:r>
          <w:rPr>
            <w:b/>
            <w:bCs/>
            <w:sz w:val="24"/>
            <w:szCs w:val="24"/>
          </w:rPr>
          <w:fldChar w:fldCharType="end"/>
        </w:r>
      </w:p>
      <w:p w:rsidR="00D1209D" w:rsidRDefault="00D1209D" w:rsidP="00D1209D">
        <w:pPr>
          <w:pStyle w:val="Encabezado"/>
          <w:tabs>
            <w:tab w:val="left" w:pos="5040"/>
          </w:tabs>
        </w:pPr>
        <w:r>
          <w:rPr>
            <w:lang w:val="es-ES"/>
          </w:rPr>
          <w:t xml:space="preserve">                                     </w:t>
        </w:r>
      </w:p>
      <w:p w:rsidR="00D1209D" w:rsidRDefault="00D1209D" w:rsidP="00D1209D">
        <w:pPr>
          <w:pStyle w:val="Encabezado"/>
          <w:tabs>
            <w:tab w:val="left" w:pos="5040"/>
          </w:tabs>
        </w:pPr>
        <w:r>
          <w:tab/>
        </w:r>
      </w:p>
      <w:p w:rsidR="00D1209D" w:rsidRDefault="000C1F1C" w:rsidP="00D1209D">
        <w:pPr>
          <w:pStyle w:val="Encabezado"/>
          <w:tabs>
            <w:tab w:val="left" w:pos="5040"/>
          </w:tabs>
        </w:pPr>
      </w:p>
    </w:sdtContent>
  </w:sdt>
  <w:p w:rsidR="00D1209D" w:rsidRDefault="00D1209D" w:rsidP="00D1209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8A6" w:rsidRDefault="003838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147F0"/>
    <w:multiLevelType w:val="hybridMultilevel"/>
    <w:tmpl w:val="45CE74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9D"/>
    <w:rsid w:val="00001BCE"/>
    <w:rsid w:val="00082739"/>
    <w:rsid w:val="000C1F1C"/>
    <w:rsid w:val="00193DCA"/>
    <w:rsid w:val="001E4B2E"/>
    <w:rsid w:val="001F41FB"/>
    <w:rsid w:val="003347EB"/>
    <w:rsid w:val="003838A6"/>
    <w:rsid w:val="00430978"/>
    <w:rsid w:val="00431935"/>
    <w:rsid w:val="004C32D0"/>
    <w:rsid w:val="005805DD"/>
    <w:rsid w:val="00591508"/>
    <w:rsid w:val="00602CF0"/>
    <w:rsid w:val="006133DE"/>
    <w:rsid w:val="00637022"/>
    <w:rsid w:val="00642DC6"/>
    <w:rsid w:val="0072475C"/>
    <w:rsid w:val="00760ACC"/>
    <w:rsid w:val="007E5319"/>
    <w:rsid w:val="008D1720"/>
    <w:rsid w:val="008D7874"/>
    <w:rsid w:val="009104B6"/>
    <w:rsid w:val="009C7400"/>
    <w:rsid w:val="00A522DB"/>
    <w:rsid w:val="00A925CF"/>
    <w:rsid w:val="00AC5B53"/>
    <w:rsid w:val="00B5099E"/>
    <w:rsid w:val="00B572A6"/>
    <w:rsid w:val="00B605E3"/>
    <w:rsid w:val="00BE4C0F"/>
    <w:rsid w:val="00C52BAE"/>
    <w:rsid w:val="00C67BF0"/>
    <w:rsid w:val="00CB1DF5"/>
    <w:rsid w:val="00CC29F6"/>
    <w:rsid w:val="00D1209D"/>
    <w:rsid w:val="00D800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BE4B3D-E75E-41BA-914A-ADD654F4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0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1209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D1209D"/>
  </w:style>
  <w:style w:type="paragraph" w:styleId="Textonotapie">
    <w:name w:val="footnote text"/>
    <w:basedOn w:val="Normal"/>
    <w:link w:val="TextonotapieCar"/>
    <w:uiPriority w:val="99"/>
    <w:semiHidden/>
    <w:unhideWhenUsed/>
    <w:rsid w:val="00D120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1209D"/>
    <w:rPr>
      <w:sz w:val="20"/>
      <w:szCs w:val="20"/>
    </w:rPr>
  </w:style>
  <w:style w:type="character" w:styleId="Refdenotaalpie">
    <w:name w:val="footnote reference"/>
    <w:basedOn w:val="Fuentedeprrafopredeter"/>
    <w:uiPriority w:val="99"/>
    <w:semiHidden/>
    <w:unhideWhenUsed/>
    <w:rsid w:val="00D1209D"/>
    <w:rPr>
      <w:vertAlign w:val="superscript"/>
    </w:rPr>
  </w:style>
  <w:style w:type="character" w:styleId="Hipervnculo">
    <w:name w:val="Hyperlink"/>
    <w:basedOn w:val="Fuentedeprrafopredeter"/>
    <w:uiPriority w:val="99"/>
    <w:unhideWhenUsed/>
    <w:rsid w:val="00D1209D"/>
    <w:rPr>
      <w:color w:val="0000FF" w:themeColor="hyperlink"/>
      <w:u w:val="single"/>
    </w:rPr>
  </w:style>
  <w:style w:type="paragraph" w:styleId="Encabezado">
    <w:name w:val="header"/>
    <w:basedOn w:val="Normal"/>
    <w:link w:val="EncabezadoCar"/>
    <w:uiPriority w:val="99"/>
    <w:unhideWhenUsed/>
    <w:rsid w:val="00D120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209D"/>
  </w:style>
  <w:style w:type="paragraph" w:customStyle="1" w:styleId="CM6">
    <w:name w:val="CM6"/>
    <w:basedOn w:val="Normal"/>
    <w:next w:val="Normal"/>
    <w:uiPriority w:val="99"/>
    <w:rsid w:val="00D1209D"/>
    <w:pPr>
      <w:autoSpaceDE w:val="0"/>
      <w:autoSpaceDN w:val="0"/>
      <w:adjustRightInd w:val="0"/>
      <w:spacing w:after="0" w:line="240" w:lineRule="auto"/>
    </w:pPr>
    <w:rPr>
      <w:rFonts w:ascii="Georgia" w:hAnsi="Georgia"/>
      <w:sz w:val="24"/>
      <w:szCs w:val="24"/>
    </w:rPr>
  </w:style>
  <w:style w:type="paragraph" w:styleId="Sinespaciado">
    <w:name w:val="No Spacing"/>
    <w:link w:val="SinespaciadoCar"/>
    <w:uiPriority w:val="1"/>
    <w:qFormat/>
    <w:rsid w:val="00D1209D"/>
    <w:pPr>
      <w:spacing w:after="0" w:line="240" w:lineRule="auto"/>
    </w:pPr>
  </w:style>
  <w:style w:type="paragraph" w:customStyle="1" w:styleId="articulo">
    <w:name w:val="articulo"/>
    <w:basedOn w:val="Normal"/>
    <w:rsid w:val="00D1209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rafo">
    <w:name w:val="parrafo"/>
    <w:basedOn w:val="Normal"/>
    <w:rsid w:val="00D1209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rafo2">
    <w:name w:val="parrafo_2"/>
    <w:basedOn w:val="Normal"/>
    <w:rsid w:val="00D1209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1209D"/>
    <w:pPr>
      <w:ind w:left="720"/>
      <w:contextualSpacing/>
    </w:pPr>
  </w:style>
  <w:style w:type="paragraph" w:styleId="Textodeglobo">
    <w:name w:val="Balloon Text"/>
    <w:basedOn w:val="Normal"/>
    <w:link w:val="TextodegloboCar"/>
    <w:uiPriority w:val="99"/>
    <w:semiHidden/>
    <w:unhideWhenUsed/>
    <w:rsid w:val="00D120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09D"/>
    <w:rPr>
      <w:rFonts w:ascii="Tahoma" w:hAnsi="Tahoma" w:cs="Tahoma"/>
      <w:sz w:val="16"/>
      <w:szCs w:val="16"/>
    </w:rPr>
  </w:style>
  <w:style w:type="character" w:customStyle="1" w:styleId="SinespaciadoCar">
    <w:name w:val="Sin espaciado Car"/>
    <w:link w:val="Sinespaciado"/>
    <w:uiPriority w:val="1"/>
    <w:locked/>
    <w:rsid w:val="009104B6"/>
  </w:style>
  <w:style w:type="table" w:styleId="Tablaconcuadrcula">
    <w:name w:val="Table Grid"/>
    <w:basedOn w:val="Tablanormal"/>
    <w:uiPriority w:val="59"/>
    <w:rsid w:val="00613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3838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3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00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admin</cp:lastModifiedBy>
  <cp:revision>2</cp:revision>
  <cp:lastPrinted>2016-06-08T14:36:00Z</cp:lastPrinted>
  <dcterms:created xsi:type="dcterms:W3CDTF">2016-06-14T20:11:00Z</dcterms:created>
  <dcterms:modified xsi:type="dcterms:W3CDTF">2016-06-14T20:11:00Z</dcterms:modified>
</cp:coreProperties>
</file>